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(SCIA): variazione della superficie degli esercizi pubblici di somministrazione alimenti e bevande.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